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A8" w:rsidRDefault="003F04A8" w:rsidP="00B37F99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1721485</wp:posOffset>
            </wp:positionH>
            <wp:positionV relativeFrom="paragraph">
              <wp:posOffset>-556895</wp:posOffset>
            </wp:positionV>
            <wp:extent cx="2255520" cy="1574666"/>
            <wp:effectExtent l="0" t="0" r="0" b="6985"/>
            <wp:wrapNone/>
            <wp:docPr id="1" name="Image 1" descr="C:\Users\sam\AppData\Local\Microsoft\Windows\INetCache\Content.Word\Logo grand format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AppData\Local\Microsoft\Windows\INetCache\Content.Word\Logo grand format 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18" cy="157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4A8" w:rsidRDefault="003F04A8" w:rsidP="00B37F99">
      <w:pPr>
        <w:jc w:val="both"/>
      </w:pPr>
    </w:p>
    <w:p w:rsidR="003F04A8" w:rsidRDefault="003F04A8" w:rsidP="00B37F99">
      <w:pPr>
        <w:jc w:val="both"/>
      </w:pPr>
    </w:p>
    <w:p w:rsidR="00C244C8" w:rsidRDefault="00C244C8" w:rsidP="00B37F99">
      <w:pPr>
        <w:jc w:val="both"/>
      </w:pPr>
    </w:p>
    <w:p w:rsidR="003F04A8" w:rsidRDefault="003F04A8" w:rsidP="00B37F99">
      <w:pPr>
        <w:jc w:val="both"/>
      </w:pPr>
    </w:p>
    <w:p w:rsidR="003F04A8" w:rsidRPr="004B0259" w:rsidRDefault="003F04A8" w:rsidP="00B37F99">
      <w:pPr>
        <w:jc w:val="both"/>
        <w:rPr>
          <w:b/>
        </w:rPr>
      </w:pPr>
      <w:r w:rsidRPr="004B0259">
        <w:rPr>
          <w:b/>
        </w:rPr>
        <w:t>Bulletin d’information SAM – 20 mars 2017</w:t>
      </w:r>
    </w:p>
    <w:p w:rsidR="0040442A" w:rsidRDefault="0040442A" w:rsidP="00B37F99">
      <w:pPr>
        <w:jc w:val="both"/>
      </w:pPr>
    </w:p>
    <w:p w:rsidR="003F04A8" w:rsidRDefault="003F04A8" w:rsidP="00B37F99">
      <w:pPr>
        <w:jc w:val="both"/>
      </w:pPr>
      <w:r>
        <w:t>Cher(e) adhérant(e),</w:t>
      </w:r>
    </w:p>
    <w:p w:rsidR="00EE1533" w:rsidRDefault="00EE1533" w:rsidP="00B37F99">
      <w:pPr>
        <w:jc w:val="both"/>
      </w:pPr>
    </w:p>
    <w:p w:rsidR="00485D16" w:rsidRDefault="00485D16" w:rsidP="00B37F99">
      <w:pPr>
        <w:jc w:val="both"/>
      </w:pPr>
      <w:r>
        <w:t xml:space="preserve">Les prévisions météo pour la fin de semaine prévoient un épisode pluvieux soutenu. Etant donné le risque tavelure marqué sur pommier, nous vous invitons à consulter le modèle </w:t>
      </w:r>
      <w:proofErr w:type="spellStart"/>
      <w:r>
        <w:t>RIMpro</w:t>
      </w:r>
      <w:proofErr w:type="spellEnd"/>
      <w:r>
        <w:t xml:space="preserve"> et à agir en conséquence selon l’historique de vos parcelles et la sensibilité de vos </w:t>
      </w:r>
      <w:r w:rsidR="00EE1533">
        <w:t>variétés</w:t>
      </w:r>
      <w:r>
        <w:t>.</w:t>
      </w:r>
    </w:p>
    <w:p w:rsidR="00485D16" w:rsidRDefault="00485D16" w:rsidP="00B37F99">
      <w:pPr>
        <w:jc w:val="both"/>
      </w:pPr>
      <w:r>
        <w:t>Voici ci-dessous le graphique produit par le modèle le 20 mars 2017 au CEHM</w:t>
      </w:r>
      <w:r w:rsidR="00EE1533">
        <w:t xml:space="preserve">, à </w:t>
      </w:r>
      <w:proofErr w:type="spellStart"/>
      <w:r w:rsidR="00EE1533">
        <w:t>Marsillargues</w:t>
      </w:r>
      <w:proofErr w:type="spellEnd"/>
      <w:r>
        <w:t> :</w:t>
      </w:r>
    </w:p>
    <w:p w:rsidR="003F04A8" w:rsidRDefault="00EE1533" w:rsidP="00B37F99">
      <w:pPr>
        <w:jc w:val="both"/>
      </w:pPr>
      <w:r>
        <w:rPr>
          <w:noProof/>
          <w:lang w:eastAsia="fr-FR"/>
        </w:rPr>
        <w:drawing>
          <wp:inline distT="0" distB="0" distL="0" distR="0" wp14:anchorId="554E5390">
            <wp:extent cx="6393592" cy="3963084"/>
            <wp:effectExtent l="0" t="0" r="762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28" cy="3975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D02" w:rsidRDefault="001F2D02" w:rsidP="00B37F99">
      <w:pPr>
        <w:jc w:val="both"/>
      </w:pPr>
    </w:p>
    <w:p w:rsidR="00485D16" w:rsidRDefault="00273091" w:rsidP="00B37F99">
      <w:pPr>
        <w:jc w:val="both"/>
      </w:pPr>
      <w:r>
        <w:t>Ce graphique se divise en trois partie</w:t>
      </w:r>
      <w:r w:rsidR="001F2D02">
        <w:t>s</w:t>
      </w:r>
      <w:r>
        <w:t>, n</w:t>
      </w:r>
      <w:r w:rsidR="00485D16">
        <w:t>ous vous rappelons ci-dessous quelques éléments pour interpréter le modèle et agir en conséquence :</w:t>
      </w:r>
    </w:p>
    <w:p w:rsidR="001F2D02" w:rsidRDefault="001F2D02" w:rsidP="00B37F99">
      <w:pPr>
        <w:jc w:val="both"/>
        <w:rPr>
          <w:b/>
          <w:color w:val="2F5496" w:themeColor="accent1" w:themeShade="BF"/>
          <w:sz w:val="24"/>
          <w:szCs w:val="24"/>
        </w:rPr>
      </w:pPr>
    </w:p>
    <w:p w:rsidR="001F2D02" w:rsidRDefault="001F2D02" w:rsidP="00B37F99">
      <w:pPr>
        <w:jc w:val="both"/>
        <w:rPr>
          <w:b/>
          <w:color w:val="2F5496" w:themeColor="accent1" w:themeShade="BF"/>
          <w:sz w:val="24"/>
          <w:szCs w:val="24"/>
        </w:rPr>
      </w:pPr>
    </w:p>
    <w:p w:rsidR="00485D16" w:rsidRPr="00EE1533" w:rsidRDefault="00485D16" w:rsidP="00B37F99">
      <w:pPr>
        <w:jc w:val="both"/>
        <w:rPr>
          <w:b/>
          <w:color w:val="2F5496" w:themeColor="accent1" w:themeShade="BF"/>
          <w:sz w:val="24"/>
          <w:szCs w:val="24"/>
        </w:rPr>
      </w:pPr>
      <w:r w:rsidRPr="00EE1533">
        <w:rPr>
          <w:b/>
          <w:color w:val="2F5496" w:themeColor="accent1" w:themeShade="BF"/>
          <w:sz w:val="24"/>
          <w:szCs w:val="24"/>
        </w:rPr>
        <w:lastRenderedPageBreak/>
        <w:t xml:space="preserve">Partie 1 : « Les prévisions de pluie et des périodes d’humectation » </w:t>
      </w:r>
    </w:p>
    <w:p w:rsidR="00485D16" w:rsidRDefault="00485D16" w:rsidP="00B37F99">
      <w:pPr>
        <w:jc w:val="both"/>
      </w:pPr>
      <w:r>
        <w:t xml:space="preserve">Cette bande indique </w:t>
      </w:r>
      <w:r w:rsidRPr="00B37F99">
        <w:rPr>
          <w:b/>
        </w:rPr>
        <w:t>les prévisions de pluie en bleue foncé</w:t>
      </w:r>
      <w:r>
        <w:t xml:space="preserve"> ainsi que </w:t>
      </w:r>
      <w:r w:rsidRPr="00C93F5B">
        <w:rPr>
          <w:strike/>
        </w:rPr>
        <w:t>l’estimation de</w:t>
      </w:r>
      <w:r>
        <w:t xml:space="preserve"> la durée des périodes d’humectation en bleu clair. </w:t>
      </w:r>
    </w:p>
    <w:p w:rsidR="00B37F99" w:rsidRDefault="00B37F99" w:rsidP="00B37F9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485D16" w:rsidRPr="00EE1533" w:rsidRDefault="00485D16" w:rsidP="00B37F99">
      <w:pPr>
        <w:jc w:val="both"/>
        <w:rPr>
          <w:b/>
          <w:color w:val="2F5496" w:themeColor="accent1" w:themeShade="BF"/>
          <w:sz w:val="24"/>
          <w:szCs w:val="24"/>
        </w:rPr>
      </w:pPr>
      <w:r w:rsidRPr="00EE1533">
        <w:rPr>
          <w:b/>
          <w:color w:val="2F5496" w:themeColor="accent1" w:themeShade="BF"/>
          <w:sz w:val="24"/>
          <w:szCs w:val="24"/>
        </w:rPr>
        <w:t xml:space="preserve">Partie 2 : « Les stocks de spores matures et immatures » </w:t>
      </w:r>
    </w:p>
    <w:p w:rsidR="00B37F99" w:rsidRDefault="00485D16" w:rsidP="00B37F99">
      <w:pPr>
        <w:jc w:val="both"/>
      </w:pPr>
      <w:r>
        <w:t xml:space="preserve">Le modèle </w:t>
      </w:r>
      <w:proofErr w:type="spellStart"/>
      <w:r>
        <w:t>RIMpro</w:t>
      </w:r>
      <w:proofErr w:type="spellEnd"/>
      <w:r>
        <w:t xml:space="preserve"> r</w:t>
      </w:r>
      <w:r w:rsidR="00C93F5B">
        <w:t>ai</w:t>
      </w:r>
      <w:r>
        <w:t>sonne sur une base de 10 000 spores immatures (bande rouge bordeau</w:t>
      </w:r>
      <w:r w:rsidR="00B37F99">
        <w:t>x</w:t>
      </w:r>
      <w:r>
        <w:t xml:space="preserve">) qui pourront </w:t>
      </w:r>
      <w:r w:rsidR="00B37F99">
        <w:t>devenir matures</w:t>
      </w:r>
      <w:r>
        <w:t xml:space="preserve"> et être projetées au cours de la saison. Ce seuil ne tient pas compte de l’historique des parcelles mais il sert à suivre leur état (immature, mature, projeté) au fils de la saison. </w:t>
      </w:r>
    </w:p>
    <w:p w:rsidR="00B37F99" w:rsidRDefault="00485D16" w:rsidP="00B37F99">
      <w:pPr>
        <w:jc w:val="both"/>
      </w:pPr>
      <w:r>
        <w:t xml:space="preserve">Ainsi, au fils du temps, ces spores </w:t>
      </w:r>
      <w:r w:rsidR="00B37F99">
        <w:t>deviennent matures, bande rouge vif.</w:t>
      </w:r>
      <w:r>
        <w:t xml:space="preserve"> L’épaisseur de cette bande indique la proportion de spores matures, prêtes à être libérées à la prochaine pluie. </w:t>
      </w:r>
      <w:r w:rsidRPr="00B37F99">
        <w:rPr>
          <w:b/>
        </w:rPr>
        <w:t>Plus la bande est épaisse plus la contamination lors de la prochaine précipitation risque d’être grave.</w:t>
      </w:r>
      <w:r>
        <w:t xml:space="preserve"> </w:t>
      </w:r>
    </w:p>
    <w:p w:rsidR="00B37F99" w:rsidRDefault="00485D16" w:rsidP="00B37F99">
      <w:pPr>
        <w:jc w:val="both"/>
      </w:pPr>
      <w:r>
        <w:t xml:space="preserve">Par exemple sur le graphique ci-dessus, au </w:t>
      </w:r>
      <w:r w:rsidR="00B37F99">
        <w:t>25 mars</w:t>
      </w:r>
      <w:r>
        <w:t xml:space="preserve">, </w:t>
      </w:r>
      <w:r w:rsidR="00B37F99">
        <w:t>environ un quart du stock de spore aura atteint sa maturité</w:t>
      </w:r>
      <w:r>
        <w:t>. On observe la libération de spores a</w:t>
      </w:r>
      <w:r w:rsidR="00B37F99">
        <w:t>u moment de la pluie prévue le 26</w:t>
      </w:r>
      <w:r>
        <w:t xml:space="preserve"> </w:t>
      </w:r>
      <w:r w:rsidR="00B37F99">
        <w:t xml:space="preserve">mars </w:t>
      </w:r>
      <w:r>
        <w:t xml:space="preserve">(diminution de l’épaisseur de la bande rouge vif). </w:t>
      </w:r>
    </w:p>
    <w:p w:rsidR="00485D16" w:rsidRDefault="00234CB2" w:rsidP="00B37F99">
      <w:pPr>
        <w:jc w:val="both"/>
        <w:rPr>
          <w:b/>
        </w:rPr>
      </w:pPr>
      <w:r>
        <w:rPr>
          <w:b/>
        </w:rPr>
        <w:t xml:space="preserve">Dans cette même partie 2, la zone </w:t>
      </w:r>
      <w:r w:rsidR="00485D16" w:rsidRPr="00B37F99">
        <w:rPr>
          <w:b/>
        </w:rPr>
        <w:t xml:space="preserve"> blanche c</w:t>
      </w:r>
      <w:r w:rsidR="00EE1533">
        <w:rPr>
          <w:b/>
        </w:rPr>
        <w:t xml:space="preserve">orrespond </w:t>
      </w:r>
      <w:r>
        <w:rPr>
          <w:b/>
        </w:rPr>
        <w:t xml:space="preserve">donc </w:t>
      </w:r>
      <w:r w:rsidR="00EE1533">
        <w:rPr>
          <w:b/>
        </w:rPr>
        <w:t xml:space="preserve">aux spores </w:t>
      </w:r>
      <w:r>
        <w:rPr>
          <w:b/>
        </w:rPr>
        <w:t xml:space="preserve">déjà </w:t>
      </w:r>
      <w:r w:rsidR="00EE1533">
        <w:rPr>
          <w:b/>
        </w:rPr>
        <w:t>projetées.</w:t>
      </w:r>
    </w:p>
    <w:p w:rsidR="00EE1533" w:rsidRPr="00B37F99" w:rsidRDefault="00EE1533" w:rsidP="00B37F99">
      <w:pPr>
        <w:jc w:val="both"/>
        <w:rPr>
          <w:b/>
        </w:rPr>
      </w:pPr>
    </w:p>
    <w:p w:rsidR="00485D16" w:rsidRPr="00EE1533" w:rsidRDefault="00485D16" w:rsidP="00B37F99">
      <w:pPr>
        <w:jc w:val="both"/>
        <w:rPr>
          <w:b/>
          <w:color w:val="2F5496" w:themeColor="accent1" w:themeShade="BF"/>
          <w:sz w:val="24"/>
          <w:szCs w:val="24"/>
        </w:rPr>
      </w:pPr>
      <w:r w:rsidRPr="00EE1533">
        <w:rPr>
          <w:b/>
          <w:color w:val="2F5496" w:themeColor="accent1" w:themeShade="BF"/>
          <w:sz w:val="24"/>
          <w:szCs w:val="24"/>
        </w:rPr>
        <w:t xml:space="preserve">Partie 3 : « Indicateur de risque » </w:t>
      </w:r>
    </w:p>
    <w:p w:rsidR="00B37F99" w:rsidRDefault="00485D16" w:rsidP="00B37F99">
      <w:pPr>
        <w:jc w:val="both"/>
      </w:pPr>
      <w:r w:rsidRPr="00B37F99">
        <w:rPr>
          <w:b/>
        </w:rPr>
        <w:t>La ligne verticale bleue ciel</w:t>
      </w:r>
      <w:r>
        <w:t xml:space="preserve"> représente la limite entre les données de la station SAM et les prévisions météo fournies par </w:t>
      </w:r>
      <w:proofErr w:type="spellStart"/>
      <w:r>
        <w:t>RIMpro</w:t>
      </w:r>
      <w:proofErr w:type="spellEnd"/>
      <w:r>
        <w:t xml:space="preserve">. </w:t>
      </w:r>
    </w:p>
    <w:p w:rsidR="00B37F99" w:rsidRDefault="00EE1533" w:rsidP="00B37F99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posOffset>4811395</wp:posOffset>
                </wp:positionV>
                <wp:extent cx="1029970" cy="5853430"/>
                <wp:effectExtent l="7620" t="0" r="6350" b="635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9970" cy="58534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EE1533" w:rsidRPr="00EE1533" w:rsidRDefault="00EE1533" w:rsidP="00EE15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1533">
                              <w:rPr>
                                <w:b/>
                                <w:sz w:val="24"/>
                                <w:szCs w:val="24"/>
                              </w:rPr>
                              <w:t>En conclusion</w:t>
                            </w:r>
                          </w:p>
                          <w:p w:rsidR="00EE1533" w:rsidRPr="00EE1533" w:rsidRDefault="00EE1533" w:rsidP="00EE153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E1533">
                              <w:rPr>
                                <w:sz w:val="24"/>
                                <w:szCs w:val="24"/>
                              </w:rPr>
                              <w:t xml:space="preserve">Le risque de contamination est très élevé, il est important de couvrir cet épisode au plus près de la pluie et d’appliquer un curatif </w:t>
                            </w:r>
                            <w:r w:rsidR="00273091">
                              <w:rPr>
                                <w:sz w:val="24"/>
                                <w:szCs w:val="24"/>
                              </w:rPr>
                              <w:t xml:space="preserve">à la bouillie </w:t>
                            </w:r>
                            <w:proofErr w:type="spellStart"/>
                            <w:r w:rsidR="00273091">
                              <w:rPr>
                                <w:sz w:val="24"/>
                                <w:szCs w:val="24"/>
                              </w:rPr>
                              <w:t>sulfo</w:t>
                            </w:r>
                            <w:proofErr w:type="spellEnd"/>
                            <w:r w:rsidR="00273091">
                              <w:rPr>
                                <w:sz w:val="24"/>
                                <w:szCs w:val="24"/>
                              </w:rPr>
                              <w:t xml:space="preserve">-calcique </w:t>
                            </w:r>
                            <w:r w:rsidRPr="00EE1533">
                              <w:rPr>
                                <w:sz w:val="24"/>
                                <w:szCs w:val="24"/>
                              </w:rPr>
                              <w:t>s’il y a lessivage.</w:t>
                            </w:r>
                          </w:p>
                          <w:p w:rsidR="00EE1533" w:rsidRPr="00EE1533" w:rsidRDefault="00EE153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E1533" w:rsidRPr="00EE1533" w:rsidRDefault="00EE15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left:0;text-align:left;margin-left:0;margin-top:378.85pt;width:81.1pt;height:460.9pt;rotation:90;z-index:25166028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" o:allowincell="f" fillcolor="#4472c4 [3204]" stroked="f">
                <v:textbox>
                  <w:txbxContent>
                    <w:p w:rsidR="00EE1533" w:rsidRPr="00EE1533" w:rsidRDefault="00EE1533" w:rsidP="00EE15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1533">
                        <w:rPr>
                          <w:b/>
                          <w:sz w:val="24"/>
                          <w:szCs w:val="24"/>
                        </w:rPr>
                        <w:t>En conclusion</w:t>
                      </w:r>
                    </w:p>
                    <w:p w:rsidR="00EE1533" w:rsidRPr="00EE1533" w:rsidRDefault="00EE1533" w:rsidP="00EE153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E1533">
                        <w:rPr>
                          <w:sz w:val="24"/>
                          <w:szCs w:val="24"/>
                        </w:rPr>
                        <w:t xml:space="preserve">Le risque de contamination est très élevé, il est important de couvrir cet épisode au plus près de la pluie et d’appliquer un curatif </w:t>
                      </w:r>
                      <w:r w:rsidR="00273091">
                        <w:rPr>
                          <w:sz w:val="24"/>
                          <w:szCs w:val="24"/>
                        </w:rPr>
                        <w:t xml:space="preserve">à la bouillie </w:t>
                      </w:r>
                      <w:proofErr w:type="spellStart"/>
                      <w:r w:rsidR="00273091">
                        <w:rPr>
                          <w:sz w:val="24"/>
                          <w:szCs w:val="24"/>
                        </w:rPr>
                        <w:t>sulfo</w:t>
                      </w:r>
                      <w:proofErr w:type="spellEnd"/>
                      <w:r w:rsidR="00273091">
                        <w:rPr>
                          <w:sz w:val="24"/>
                          <w:szCs w:val="24"/>
                        </w:rPr>
                        <w:t xml:space="preserve">-calcique </w:t>
                      </w:r>
                      <w:r w:rsidRPr="00EE1533">
                        <w:rPr>
                          <w:sz w:val="24"/>
                          <w:szCs w:val="24"/>
                        </w:rPr>
                        <w:t>s’il y a lessivage.</w:t>
                      </w:r>
                    </w:p>
                    <w:p w:rsidR="00EE1533" w:rsidRPr="00EE1533" w:rsidRDefault="00EE153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E1533" w:rsidRPr="00EE1533" w:rsidRDefault="00EE153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85D16">
        <w:t xml:space="preserve">Les </w:t>
      </w:r>
      <w:r w:rsidR="00B37F99">
        <w:t>histogrammes</w:t>
      </w:r>
      <w:r w:rsidR="00485D16">
        <w:t xml:space="preserve"> jaunes représentent la quantité de spores projetées. </w:t>
      </w:r>
    </w:p>
    <w:p w:rsidR="00B37F99" w:rsidRDefault="00485D16" w:rsidP="00B37F99">
      <w:pPr>
        <w:jc w:val="both"/>
      </w:pPr>
      <w:r>
        <w:t xml:space="preserve">La zone blanche représente la quantité de spores en germination. </w:t>
      </w:r>
    </w:p>
    <w:p w:rsidR="00B37F99" w:rsidRDefault="00B37F99" w:rsidP="00B37F99">
      <w:pPr>
        <w:jc w:val="both"/>
      </w:pPr>
      <w:r w:rsidRPr="00B37F99">
        <w:rPr>
          <w:u w:val="single"/>
        </w:rPr>
        <w:t>IMPORTANT :</w:t>
      </w:r>
      <w:r>
        <w:t xml:space="preserve"> </w:t>
      </w:r>
      <w:r w:rsidR="00485D16" w:rsidRPr="00B37F99">
        <w:rPr>
          <w:b/>
        </w:rPr>
        <w:t xml:space="preserve">La </w:t>
      </w:r>
      <w:r w:rsidR="00273091">
        <w:rPr>
          <w:b/>
        </w:rPr>
        <w:t>courbe</w:t>
      </w:r>
      <w:r w:rsidR="00485D16" w:rsidRPr="00B37F99">
        <w:rPr>
          <w:b/>
        </w:rPr>
        <w:t xml:space="preserve"> rouge représente la quantité de spores ayant pénétré le végétal.</w:t>
      </w:r>
      <w:r w:rsidR="00485D16">
        <w:t xml:space="preserve"> </w:t>
      </w:r>
      <w:r w:rsidR="00485D16" w:rsidRPr="00B37F99">
        <w:rPr>
          <w:b/>
        </w:rPr>
        <w:t xml:space="preserve">Cette </w:t>
      </w:r>
      <w:r w:rsidR="00273091">
        <w:rPr>
          <w:b/>
        </w:rPr>
        <w:t>courbe</w:t>
      </w:r>
      <w:r w:rsidR="00273091" w:rsidRPr="00B37F99">
        <w:rPr>
          <w:b/>
        </w:rPr>
        <w:t xml:space="preserve"> </w:t>
      </w:r>
      <w:r w:rsidR="00485D16" w:rsidRPr="00B37F99">
        <w:rPr>
          <w:b/>
        </w:rPr>
        <w:t>est l’indicateur le plus direct du risque et de la gravite de la contamination.</w:t>
      </w:r>
      <w:r w:rsidR="00485D16">
        <w:t xml:space="preserve"> </w:t>
      </w:r>
    </w:p>
    <w:p w:rsidR="00485D16" w:rsidRDefault="00485D16" w:rsidP="00B37F99">
      <w:pPr>
        <w:jc w:val="both"/>
        <w:rPr>
          <w:b/>
        </w:rPr>
      </w:pPr>
      <w:r>
        <w:t xml:space="preserve">D’une manière général pour une parcelle n’ayant pas un historique tavelure trop marqué, le seuil de gravité est </w:t>
      </w:r>
      <w:r w:rsidR="00114FD4">
        <w:t>environ</w:t>
      </w:r>
      <w:r>
        <w:t xml:space="preserve"> de 150-200. </w:t>
      </w:r>
      <w:r w:rsidRPr="00B37F99">
        <w:rPr>
          <w:b/>
        </w:rPr>
        <w:t xml:space="preserve">Ce taux est appelé le RIM. </w:t>
      </w:r>
      <w:r>
        <w:t xml:space="preserve">Il se lit sur l’ordonnée de gauche du graphique. </w:t>
      </w:r>
      <w:r w:rsidRPr="00114FD4">
        <w:rPr>
          <w:b/>
        </w:rPr>
        <w:t>ATTENTION !!</w:t>
      </w:r>
      <w:r>
        <w:t xml:space="preserve"> Ce raisonnement est à pondérer par l’historique des parcelles et en fonction de la sensibilité des variétés. Une parcelle avec un fort inoculum, dû à d’importantes contaminations l’année passée, es</w:t>
      </w:r>
      <w:r w:rsidR="00114FD4">
        <w:t>t plus sensible. Dans ce cas</w:t>
      </w:r>
      <w:r>
        <w:t xml:space="preserve">, le seuil de contamination grave peut être descendu à 50 voire en-dessous. </w:t>
      </w:r>
      <w:r w:rsidRPr="00114FD4">
        <w:rPr>
          <w:b/>
        </w:rPr>
        <w:t>La zone orange représente la période d’efficacité d’un traitement curatif</w:t>
      </w:r>
      <w:r w:rsidR="00234CB2">
        <w:rPr>
          <w:b/>
        </w:rPr>
        <w:t xml:space="preserve"> à la bouillie sulfo-calcique)</w:t>
      </w:r>
      <w:r w:rsidRPr="00114FD4">
        <w:rPr>
          <w:b/>
        </w:rPr>
        <w:t>.</w:t>
      </w:r>
    </w:p>
    <w:p w:rsidR="00114FD4" w:rsidRDefault="00114FD4" w:rsidP="00B37F99">
      <w:pPr>
        <w:jc w:val="both"/>
        <w:rPr>
          <w:b/>
        </w:rPr>
      </w:pPr>
    </w:p>
    <w:p w:rsidR="00485D16" w:rsidRDefault="00485D16" w:rsidP="00B37F99">
      <w:pPr>
        <w:jc w:val="both"/>
      </w:pPr>
    </w:p>
    <w:sectPr w:rsidR="0048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9F"/>
    <w:rsid w:val="00114FD4"/>
    <w:rsid w:val="001B7D81"/>
    <w:rsid w:val="001F2D02"/>
    <w:rsid w:val="00234CB2"/>
    <w:rsid w:val="00273091"/>
    <w:rsid w:val="003F04A8"/>
    <w:rsid w:val="003F349F"/>
    <w:rsid w:val="0040442A"/>
    <w:rsid w:val="00485D16"/>
    <w:rsid w:val="004B0259"/>
    <w:rsid w:val="00725EE2"/>
    <w:rsid w:val="008B2DF2"/>
    <w:rsid w:val="00B37F99"/>
    <w:rsid w:val="00C244C8"/>
    <w:rsid w:val="00C93F5B"/>
    <w:rsid w:val="00ED0975"/>
    <w:rsid w:val="00E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A1F9"/>
  <w15:docId w15:val="{6BFDC35A-7BC3-4AFB-90F5-3B85F1B0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2017-03-21T07:06:00Z</dcterms:created>
  <dcterms:modified xsi:type="dcterms:W3CDTF">2017-03-21T07:17:00Z</dcterms:modified>
</cp:coreProperties>
</file>